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7A1A" w14:textId="7F36C25E" w:rsidR="00E36697" w:rsidRDefault="00895C5D" w:rsidP="00E36697">
      <w:pPr>
        <w:spacing w:line="259" w:lineRule="auto"/>
        <w:rPr>
          <w:rFonts w:cstheme="minorHAnsi"/>
          <w:b/>
          <w:bCs/>
          <w:u w:val="single"/>
        </w:rPr>
      </w:pPr>
      <w:r>
        <w:rPr>
          <w:rFonts w:cstheme="minorHAnsi"/>
          <w:b/>
          <w:bCs/>
          <w:u w:val="single"/>
        </w:rPr>
        <w:t>Ops Memo</w:t>
      </w:r>
      <w:r w:rsidR="00E36697">
        <w:rPr>
          <w:rFonts w:cstheme="minorHAnsi"/>
          <w:b/>
          <w:bCs/>
          <w:u w:val="single"/>
        </w:rPr>
        <w:t xml:space="preserve"> 24-03</w:t>
      </w:r>
    </w:p>
    <w:p w14:paraId="129B1FF9" w14:textId="77777777" w:rsidR="00E36697" w:rsidRDefault="00E36697" w:rsidP="00E36697">
      <w:pPr>
        <w:spacing w:line="259" w:lineRule="auto"/>
        <w:rPr>
          <w:rFonts w:cstheme="minorHAnsi"/>
        </w:rPr>
      </w:pPr>
      <w:r>
        <w:rPr>
          <w:rFonts w:cstheme="minorHAnsi"/>
        </w:rPr>
        <w:t>Presented by: Janice Pfeiffer</w:t>
      </w:r>
    </w:p>
    <w:p w14:paraId="67342D8B" w14:textId="64BF6250" w:rsidR="00E36697" w:rsidRDefault="00E36697" w:rsidP="00E36697">
      <w:pPr>
        <w:spacing w:line="259" w:lineRule="auto"/>
        <w:rPr>
          <w:rFonts w:cstheme="minorHAnsi"/>
        </w:rPr>
      </w:pPr>
      <w:r>
        <w:rPr>
          <w:rFonts w:cstheme="minorHAnsi"/>
        </w:rPr>
        <w:t>Subject: Compromising FoodShare Overpayments</w:t>
      </w:r>
    </w:p>
    <w:p w14:paraId="284EEBCE" w14:textId="6ADEB108" w:rsidR="00E36697" w:rsidRDefault="00E36697" w:rsidP="00E36697">
      <w:pPr>
        <w:spacing w:line="259" w:lineRule="auto"/>
        <w:rPr>
          <w:rFonts w:cstheme="minorHAnsi"/>
        </w:rPr>
      </w:pPr>
      <w:r>
        <w:rPr>
          <w:rFonts w:cstheme="minorHAnsi"/>
        </w:rPr>
        <w:t>Effective Date: February 24, 2024</w:t>
      </w:r>
    </w:p>
    <w:p w14:paraId="6632BEE4" w14:textId="68941B88" w:rsidR="00E36697" w:rsidRDefault="00E36697" w:rsidP="00E36697">
      <w:pPr>
        <w:spacing w:line="259" w:lineRule="auto"/>
        <w:rPr>
          <w:rFonts w:cstheme="minorHAnsi"/>
        </w:rPr>
      </w:pPr>
      <w:r>
        <w:rPr>
          <w:rFonts w:cstheme="minorHAnsi"/>
        </w:rPr>
        <w:t xml:space="preserve">This memo states that the Department of Health Services (DHS) will allow liable individuals with an outstanding balance on a FoodShare overpayment claim, due to client or non-client error, to request that the agency consider a compromise on the amount owed. </w:t>
      </w:r>
    </w:p>
    <w:p w14:paraId="2EF2932C" w14:textId="2BD3AE4C" w:rsidR="00E36697" w:rsidRPr="000760EF" w:rsidRDefault="00E36697" w:rsidP="00E36697">
      <w:pPr>
        <w:spacing w:line="259" w:lineRule="auto"/>
        <w:rPr>
          <w:rFonts w:cstheme="minorHAnsi"/>
          <w:b/>
          <w:bCs/>
        </w:rPr>
      </w:pPr>
      <w:r w:rsidRPr="000760EF">
        <w:rPr>
          <w:rFonts w:cstheme="minorHAnsi"/>
          <w:b/>
          <w:bCs/>
        </w:rPr>
        <w:t>Compromise Requests:</w:t>
      </w:r>
    </w:p>
    <w:p w14:paraId="0DF75C36" w14:textId="0B0AE1DF" w:rsidR="00E36697" w:rsidRDefault="00E36697" w:rsidP="002A03EE">
      <w:pPr>
        <w:spacing w:line="259" w:lineRule="auto"/>
        <w:rPr>
          <w:rFonts w:cstheme="minorHAnsi"/>
        </w:rPr>
      </w:pPr>
      <w:r>
        <w:rPr>
          <w:rFonts w:cstheme="minorHAnsi"/>
        </w:rPr>
        <w:t>Individuals that wish to have their claim reviewed for a potential compromise must submit a formal request to the IM agency</w:t>
      </w:r>
      <w:r w:rsidR="001D06C5">
        <w:rPr>
          <w:rFonts w:cstheme="minorHAnsi"/>
        </w:rPr>
        <w:t xml:space="preserve"> </w:t>
      </w:r>
      <w:r>
        <w:rPr>
          <w:rFonts w:cstheme="minorHAnsi"/>
        </w:rPr>
        <w:t>in writing using the Request to Lower a FoodShare Overpayment form, F-03266</w:t>
      </w:r>
      <w:r w:rsidR="001D06C5">
        <w:rPr>
          <w:rFonts w:cstheme="minorHAnsi"/>
        </w:rPr>
        <w:t xml:space="preserve">. </w:t>
      </w:r>
      <w:r w:rsidR="002A03EE">
        <w:rPr>
          <w:rFonts w:cstheme="minorHAnsi"/>
        </w:rPr>
        <w:t xml:space="preserve">A liable </w:t>
      </w:r>
      <w:r w:rsidR="002A03EE" w:rsidRPr="002A03EE">
        <w:rPr>
          <w:rFonts w:cstheme="minorHAnsi"/>
        </w:rPr>
        <w:t xml:space="preserve">individual may initiate the process by contacting the IM agency by phone and the compromise request form will be mailed to the individual for completion. </w:t>
      </w:r>
    </w:p>
    <w:p w14:paraId="70C3FDEB" w14:textId="669A34F8" w:rsidR="002A03EE" w:rsidRDefault="002A03EE" w:rsidP="002A03EE">
      <w:pPr>
        <w:spacing w:line="259" w:lineRule="auto"/>
        <w:rPr>
          <w:rFonts w:cstheme="minorHAnsi"/>
        </w:rPr>
      </w:pPr>
      <w:r w:rsidRPr="002A03EE">
        <w:rPr>
          <w:rFonts w:cstheme="minorHAnsi"/>
        </w:rPr>
        <w:t xml:space="preserve">Workers must take action on compromise requests received timely and attempt to make the compromise request determination within 30 days of receipt. </w:t>
      </w:r>
    </w:p>
    <w:p w14:paraId="3FA7790D" w14:textId="12306FA9" w:rsidR="002A03EE" w:rsidRPr="000760EF" w:rsidRDefault="002A03EE" w:rsidP="002A03EE">
      <w:pPr>
        <w:spacing w:line="259" w:lineRule="auto"/>
        <w:rPr>
          <w:b/>
          <w:bCs/>
        </w:rPr>
      </w:pPr>
      <w:r w:rsidRPr="000760EF">
        <w:rPr>
          <w:b/>
          <w:bCs/>
        </w:rPr>
        <w:t>Collecting Information for a Compromise Request:</w:t>
      </w:r>
    </w:p>
    <w:p w14:paraId="5EBE01E6" w14:textId="4684470E" w:rsidR="002A03EE" w:rsidRDefault="002A03EE" w:rsidP="002A03EE">
      <w:pPr>
        <w:spacing w:line="259" w:lineRule="auto"/>
      </w:pPr>
      <w:r>
        <w:t>Information used in the compromise request must be recent. A current snapshot of the household's composition, income, and expenses is required to determine what can be prospectively repaid in the next three years. Existing information in the case record will not be used unless it was verified within 30 days of the compromise request</w:t>
      </w:r>
      <w:r w:rsidR="000760EF">
        <w:t>.</w:t>
      </w:r>
    </w:p>
    <w:p w14:paraId="3E1FC104" w14:textId="69EEDF52" w:rsidR="002A03EE" w:rsidRPr="000760EF" w:rsidRDefault="002A03EE" w:rsidP="002A03EE">
      <w:pPr>
        <w:spacing w:line="259" w:lineRule="auto"/>
        <w:rPr>
          <w:b/>
          <w:bCs/>
        </w:rPr>
      </w:pPr>
      <w:r w:rsidRPr="000760EF">
        <w:rPr>
          <w:b/>
          <w:bCs/>
        </w:rPr>
        <w:t>Liable Individuals:</w:t>
      </w:r>
    </w:p>
    <w:p w14:paraId="1B548A5D" w14:textId="2C1F2C0D" w:rsidR="002A03EE" w:rsidRDefault="002A03EE" w:rsidP="002A03EE">
      <w:pPr>
        <w:spacing w:line="259" w:lineRule="auto"/>
      </w:pPr>
      <w:r>
        <w:t>In claims with multiple liable individuals, only one individual, the primary requester, is required to request the compromise.</w:t>
      </w:r>
      <w:r w:rsidRPr="002A03EE">
        <w:t xml:space="preserve"> </w:t>
      </w:r>
      <w:r>
        <w:t xml:space="preserve">If more household information is needed, 20 days must be given for the individual to provide information and verification documents. In claims with multiple liable individuals who are no longer living in the same household, the calculation will be completed for each liable individual’s household on the claim and use the outcome that provides the greater benefit to the liable individuals. </w:t>
      </w:r>
    </w:p>
    <w:p w14:paraId="488255DE" w14:textId="34D41558" w:rsidR="002A03EE" w:rsidRPr="000760EF" w:rsidRDefault="002A03EE" w:rsidP="002A03EE">
      <w:pPr>
        <w:spacing w:line="259" w:lineRule="auto"/>
        <w:rPr>
          <w:b/>
          <w:bCs/>
        </w:rPr>
      </w:pPr>
      <w:r w:rsidRPr="000760EF">
        <w:rPr>
          <w:b/>
          <w:bCs/>
        </w:rPr>
        <w:t>Approval or Denial of a Compromise Request:</w:t>
      </w:r>
    </w:p>
    <w:p w14:paraId="086D0ADA" w14:textId="7A6D14AF" w:rsidR="002A03EE" w:rsidRDefault="002A03EE" w:rsidP="002A03EE">
      <w:pPr>
        <w:spacing w:line="259" w:lineRule="auto"/>
      </w:pPr>
      <w:r>
        <w:t>The household income and expense amounts reported by the requester are budgeted to a monthly value which will be multiplied by 36 months. If the amount that can be repaid is less than the claim balance, the compromise is approved, the DCF “Write-Off and Adjustment Form” (DCF-F-140-E) will be sent to the Wisconsin Department of Children and Families, Public Assistance Collection Section (DCF PACS), and an approval notice will be sent notifying the liable individuals of the new payment amounts..</w:t>
      </w:r>
    </w:p>
    <w:p w14:paraId="4CB1F258" w14:textId="45BF8545" w:rsidR="002A03EE" w:rsidRDefault="002A03EE" w:rsidP="002A03EE">
      <w:pPr>
        <w:spacing w:line="259" w:lineRule="auto"/>
      </w:pPr>
      <w:r>
        <w:t xml:space="preserve">A compromise request could contain multiple claims and each claim is evaluated separately. If the amount that can be repaid is equal to or greater than the claim balance, the compromise is denied by the worker, and a denial notice will be sent to the requester. In some cases, liable individuals will be notified of the denial. </w:t>
      </w:r>
    </w:p>
    <w:p w14:paraId="1E43476F" w14:textId="19FB8C38" w:rsidR="002A03EE" w:rsidRPr="000760EF" w:rsidRDefault="002A03EE" w:rsidP="002A03EE">
      <w:pPr>
        <w:spacing w:line="259" w:lineRule="auto"/>
        <w:rPr>
          <w:b/>
          <w:bCs/>
        </w:rPr>
      </w:pPr>
      <w:r w:rsidRPr="000760EF">
        <w:rPr>
          <w:b/>
          <w:bCs/>
        </w:rPr>
        <w:t>Escalation Review:</w:t>
      </w:r>
    </w:p>
    <w:p w14:paraId="28106371" w14:textId="4707760F" w:rsidR="002A03EE" w:rsidRDefault="002A03EE" w:rsidP="002A03EE">
      <w:pPr>
        <w:spacing w:line="259" w:lineRule="auto"/>
      </w:pPr>
      <w:r>
        <w:t>The requester can escalate a compromise determination with the agency if they disagree on a compromised amount or on a denied compromise.</w:t>
      </w:r>
      <w:r w:rsidRPr="002A03EE">
        <w:t xml:space="preserve"> </w:t>
      </w:r>
      <w:r>
        <w:t>If the requester disagrees with the</w:t>
      </w:r>
      <w:r w:rsidR="000760EF" w:rsidRPr="000760EF">
        <w:t xml:space="preserve"> </w:t>
      </w:r>
      <w:r w:rsidR="000760EF">
        <w:t>agency escalation review, the agency may escalate it to DHS. The DHS review is considered final and may not be escalated further. There are no fair hearing rights for compromise requests.</w:t>
      </w:r>
    </w:p>
    <w:p w14:paraId="486E61CD" w14:textId="1E62CD22" w:rsidR="001D06C5" w:rsidRDefault="001D06C5" w:rsidP="002A03EE">
      <w:pPr>
        <w:spacing w:line="259" w:lineRule="auto"/>
        <w:rPr>
          <w:rFonts w:eastAsia="Times New Roman"/>
        </w:rPr>
      </w:pPr>
      <w:r>
        <w:t xml:space="preserve">CWW Demo Link: </w:t>
      </w:r>
      <w:hyperlink r:id="rId10" w:history="1">
        <w:r>
          <w:rPr>
            <w:rStyle w:val="Hyperlink"/>
            <w:rFonts w:eastAsia="Times New Roman"/>
          </w:rPr>
          <w:t>Overpayment Claim Compromise</w:t>
        </w:r>
      </w:hyperlink>
    </w:p>
    <w:p w14:paraId="0E65D80C" w14:textId="1F645EC3" w:rsidR="001D06C5" w:rsidRDefault="001D06C5" w:rsidP="002A03EE">
      <w:pPr>
        <w:spacing w:line="259" w:lineRule="auto"/>
      </w:pPr>
      <w:r>
        <w:rPr>
          <w:rFonts w:eastAsia="Times New Roman"/>
        </w:rPr>
        <w:t>Process Help 31.3.8 (available at next update)</w:t>
      </w:r>
    </w:p>
    <w:p w14:paraId="797DCF56" w14:textId="77777777" w:rsidR="00E814B8" w:rsidRDefault="00E814B8" w:rsidP="002A03EE">
      <w:pPr>
        <w:spacing w:line="259" w:lineRule="auto"/>
      </w:pPr>
    </w:p>
    <w:p w14:paraId="027D81B2" w14:textId="77777777" w:rsidR="00E814B8" w:rsidRPr="00E814B8" w:rsidRDefault="00E814B8" w:rsidP="00E814B8">
      <w:pPr>
        <w:spacing w:line="259" w:lineRule="auto"/>
        <w:rPr>
          <w:rFonts w:eastAsia="Times New Roman" w:cs="Calibri"/>
          <w:b/>
          <w:bCs/>
          <w:u w:val="single"/>
        </w:rPr>
      </w:pPr>
      <w:r w:rsidRPr="00E814B8">
        <w:rPr>
          <w:rFonts w:eastAsia="Times New Roman" w:cs="Calibri"/>
          <w:b/>
          <w:bCs/>
          <w:u w:val="single"/>
        </w:rPr>
        <w:t>QC Newsletter Overview</w:t>
      </w:r>
    </w:p>
    <w:p w14:paraId="23E54323" w14:textId="77777777" w:rsidR="00E814B8" w:rsidRPr="00E814B8" w:rsidRDefault="00E814B8" w:rsidP="00E814B8">
      <w:pPr>
        <w:spacing w:line="259" w:lineRule="auto"/>
        <w:rPr>
          <w:rFonts w:eastAsia="Times New Roman" w:cs="Times New Roman"/>
        </w:rPr>
      </w:pPr>
      <w:r w:rsidRPr="00E814B8">
        <w:rPr>
          <w:rFonts w:eastAsia="Times New Roman" w:cs="Times New Roman"/>
        </w:rPr>
        <w:t>Presented By: Erin Heiman</w:t>
      </w:r>
    </w:p>
    <w:p w14:paraId="2D4D5568" w14:textId="77777777" w:rsidR="00E814B8" w:rsidRPr="00E814B8" w:rsidRDefault="00E814B8" w:rsidP="00E814B8">
      <w:pPr>
        <w:spacing w:line="259" w:lineRule="auto"/>
        <w:rPr>
          <w:rFonts w:eastAsia="Times New Roman" w:cs="Times New Roman"/>
        </w:rPr>
      </w:pPr>
      <w:r w:rsidRPr="00E814B8">
        <w:rPr>
          <w:rFonts w:eastAsia="Times New Roman" w:cs="Times New Roman"/>
        </w:rPr>
        <w:t>Subject:  Fall 2023 QC Newsletter</w:t>
      </w:r>
    </w:p>
    <w:p w14:paraId="0AD25066" w14:textId="77777777" w:rsidR="00E814B8" w:rsidRPr="00E814B8" w:rsidRDefault="00E814B8" w:rsidP="00E814B8">
      <w:pPr>
        <w:spacing w:line="259" w:lineRule="auto"/>
        <w:rPr>
          <w:rFonts w:eastAsia="Times New Roman" w:cs="Times New Roman"/>
        </w:rPr>
      </w:pPr>
      <w:r w:rsidRPr="00E814B8">
        <w:rPr>
          <w:rFonts w:eastAsia="Times New Roman" w:cs="Times New Roman"/>
        </w:rPr>
        <w:t xml:space="preserve">The purpose of the newsletter is to address common QC Errors. </w:t>
      </w:r>
    </w:p>
    <w:p w14:paraId="416315D2" w14:textId="77777777" w:rsidR="00E814B8" w:rsidRPr="00E814B8" w:rsidRDefault="00E814B8" w:rsidP="00E814B8">
      <w:pPr>
        <w:numPr>
          <w:ilvl w:val="0"/>
          <w:numId w:val="1"/>
        </w:numPr>
        <w:spacing w:line="259" w:lineRule="auto"/>
        <w:contextualSpacing/>
        <w:rPr>
          <w:rFonts w:eastAsia="Times New Roman" w:cs="Times New Roman"/>
          <w:kern w:val="2"/>
        </w:rPr>
      </w:pPr>
      <w:r w:rsidRPr="00E814B8">
        <w:rPr>
          <w:rFonts w:eastAsia="Times New Roman" w:cs="Times New Roman"/>
          <w:kern w:val="2"/>
        </w:rPr>
        <w:t>Expected Annual Income Screen</w:t>
      </w:r>
    </w:p>
    <w:p w14:paraId="1148FF0B" w14:textId="77777777" w:rsidR="00E814B8" w:rsidRPr="00E814B8" w:rsidRDefault="00E814B8" w:rsidP="00E814B8">
      <w:pPr>
        <w:numPr>
          <w:ilvl w:val="1"/>
          <w:numId w:val="1"/>
        </w:numPr>
        <w:spacing w:line="259" w:lineRule="auto"/>
        <w:contextualSpacing/>
        <w:rPr>
          <w:rFonts w:eastAsia="Times New Roman" w:cs="Times New Roman"/>
          <w:kern w:val="2"/>
        </w:rPr>
      </w:pPr>
      <w:r w:rsidRPr="00E814B8">
        <w:rPr>
          <w:rFonts w:eastAsia="Times New Roman" w:cs="Times New Roman"/>
          <w:kern w:val="2"/>
        </w:rPr>
        <w:t>The most common error is that not all sections of the screen are updated.</w:t>
      </w:r>
    </w:p>
    <w:p w14:paraId="386D1619" w14:textId="77777777" w:rsidR="00E814B8" w:rsidRPr="00E814B8" w:rsidRDefault="00E814B8" w:rsidP="00E814B8">
      <w:pPr>
        <w:numPr>
          <w:ilvl w:val="2"/>
          <w:numId w:val="1"/>
        </w:numPr>
        <w:spacing w:line="259" w:lineRule="auto"/>
        <w:contextualSpacing/>
        <w:rPr>
          <w:rFonts w:eastAsia="Times New Roman" w:cs="Times New Roman"/>
          <w:kern w:val="2"/>
        </w:rPr>
      </w:pPr>
      <w:r w:rsidRPr="00E814B8">
        <w:rPr>
          <w:rFonts w:eastAsia="Times New Roman" w:cs="Times New Roman"/>
          <w:kern w:val="2"/>
        </w:rPr>
        <w:t xml:space="preserve">Earned income, unearned income, self-employment and deductions must be reviewed. </w:t>
      </w:r>
    </w:p>
    <w:p w14:paraId="4BF59366" w14:textId="77777777" w:rsidR="00E814B8" w:rsidRPr="00E814B8" w:rsidRDefault="00E814B8" w:rsidP="00E814B8">
      <w:pPr>
        <w:numPr>
          <w:ilvl w:val="2"/>
          <w:numId w:val="1"/>
        </w:numPr>
        <w:spacing w:line="259" w:lineRule="auto"/>
        <w:contextualSpacing/>
        <w:rPr>
          <w:rFonts w:eastAsia="Times New Roman" w:cs="Times New Roman"/>
          <w:kern w:val="2"/>
        </w:rPr>
      </w:pPr>
      <w:r w:rsidRPr="00E814B8">
        <w:rPr>
          <w:rFonts w:eastAsia="Times New Roman" w:cs="Times New Roman"/>
          <w:kern w:val="2"/>
        </w:rPr>
        <w:t>Each section must be manually entered.  If zero, section can be left blank.</w:t>
      </w:r>
    </w:p>
    <w:p w14:paraId="2724937D" w14:textId="77777777" w:rsidR="00E814B8" w:rsidRPr="00E814B8" w:rsidRDefault="00E814B8" w:rsidP="00E814B8">
      <w:pPr>
        <w:numPr>
          <w:ilvl w:val="2"/>
          <w:numId w:val="1"/>
        </w:numPr>
        <w:spacing w:line="259" w:lineRule="auto"/>
        <w:contextualSpacing/>
        <w:rPr>
          <w:rFonts w:eastAsia="Times New Roman" w:cs="Times New Roman"/>
          <w:kern w:val="2"/>
        </w:rPr>
      </w:pPr>
      <w:r w:rsidRPr="00E814B8">
        <w:rPr>
          <w:rFonts w:eastAsia="Times New Roman" w:cs="Times New Roman"/>
          <w:kern w:val="2"/>
        </w:rPr>
        <w:t>Totals of all sections are transferred to first section.</w:t>
      </w:r>
    </w:p>
    <w:p w14:paraId="413AD74F" w14:textId="77777777" w:rsidR="00E814B8" w:rsidRPr="00E814B8" w:rsidRDefault="00E814B8" w:rsidP="00E814B8">
      <w:pPr>
        <w:numPr>
          <w:ilvl w:val="0"/>
          <w:numId w:val="1"/>
        </w:numPr>
        <w:spacing w:line="259" w:lineRule="auto"/>
        <w:contextualSpacing/>
        <w:rPr>
          <w:rFonts w:eastAsia="Times New Roman" w:cs="Times New Roman"/>
          <w:kern w:val="2"/>
        </w:rPr>
      </w:pPr>
      <w:r w:rsidRPr="00E814B8">
        <w:rPr>
          <w:rFonts w:eastAsia="Times New Roman" w:cs="Times New Roman"/>
          <w:kern w:val="2"/>
        </w:rPr>
        <w:t>Authorized Representatives</w:t>
      </w:r>
    </w:p>
    <w:p w14:paraId="0962D4AF" w14:textId="77777777" w:rsidR="00E814B8" w:rsidRPr="00E814B8" w:rsidRDefault="00E814B8" w:rsidP="00E814B8">
      <w:pPr>
        <w:numPr>
          <w:ilvl w:val="1"/>
          <w:numId w:val="1"/>
        </w:numPr>
        <w:spacing w:line="259" w:lineRule="auto"/>
        <w:contextualSpacing/>
        <w:rPr>
          <w:rFonts w:eastAsia="Times New Roman" w:cs="Times New Roman"/>
          <w:kern w:val="2"/>
        </w:rPr>
      </w:pPr>
      <w:r w:rsidRPr="00E814B8">
        <w:rPr>
          <w:rFonts w:eastAsia="Times New Roman" w:cs="Times New Roman"/>
          <w:kern w:val="2"/>
        </w:rPr>
        <w:t>Appointment of Authorized Representatives requires all contact information for the authorized representative, a signature, authorized representative signature, and witness signature.   If all information and signatures are not provided, the appointment is not valid.   If there is no valid appointment, authorized representative information should not be entered into CWW.</w:t>
      </w:r>
    </w:p>
    <w:p w14:paraId="2F85EF07" w14:textId="77777777" w:rsidR="00E814B8" w:rsidRPr="00E814B8" w:rsidRDefault="00E814B8" w:rsidP="00E814B8">
      <w:pPr>
        <w:numPr>
          <w:ilvl w:val="1"/>
          <w:numId w:val="1"/>
        </w:numPr>
        <w:spacing w:line="259" w:lineRule="auto"/>
        <w:contextualSpacing/>
        <w:rPr>
          <w:rFonts w:eastAsia="Times New Roman" w:cs="Times New Roman"/>
          <w:kern w:val="2"/>
        </w:rPr>
      </w:pPr>
      <w:r w:rsidRPr="00E814B8">
        <w:rPr>
          <w:rFonts w:eastAsia="Times New Roman" w:cs="Times New Roman"/>
          <w:kern w:val="2"/>
        </w:rPr>
        <w:t>To remove an authorized representative, section one of the appoint, change, or remove an Authorized Representative from must be completed or a signed letter requesting removal must be received.  Either the member or the authorized representative can request the removal.</w:t>
      </w:r>
    </w:p>
    <w:p w14:paraId="402FB4E3" w14:textId="77777777" w:rsidR="00E814B8" w:rsidRPr="00E814B8" w:rsidRDefault="00E814B8" w:rsidP="00E814B8">
      <w:pPr>
        <w:numPr>
          <w:ilvl w:val="0"/>
          <w:numId w:val="2"/>
        </w:numPr>
        <w:spacing w:line="259" w:lineRule="auto"/>
        <w:contextualSpacing/>
        <w:rPr>
          <w:rFonts w:eastAsia="Times New Roman" w:cs="Times New Roman"/>
          <w:kern w:val="2"/>
        </w:rPr>
      </w:pPr>
      <w:r w:rsidRPr="00E814B8">
        <w:rPr>
          <w:rFonts w:eastAsia="Times New Roman" w:cs="Times New Roman"/>
          <w:kern w:val="2"/>
        </w:rPr>
        <w:t>Shelter/Utilities</w:t>
      </w:r>
    </w:p>
    <w:p w14:paraId="013B3E0A" w14:textId="77777777" w:rsidR="00E814B8" w:rsidRPr="00E814B8" w:rsidRDefault="00E814B8" w:rsidP="00E814B8">
      <w:pPr>
        <w:numPr>
          <w:ilvl w:val="1"/>
          <w:numId w:val="2"/>
        </w:numPr>
        <w:spacing w:line="259" w:lineRule="auto"/>
        <w:contextualSpacing/>
        <w:rPr>
          <w:rFonts w:eastAsia="Times New Roman" w:cs="Times New Roman"/>
          <w:kern w:val="2"/>
        </w:rPr>
      </w:pPr>
      <w:r w:rsidRPr="00E814B8">
        <w:rPr>
          <w:rFonts w:eastAsia="Times New Roman" w:cs="Times New Roman"/>
          <w:kern w:val="2"/>
        </w:rPr>
        <w:t>Shelter and utilities continue to be the top error year after year due to expenses not being properly reviewed at recertification.</w:t>
      </w:r>
    </w:p>
    <w:p w14:paraId="58C7A361" w14:textId="77777777" w:rsidR="00E814B8" w:rsidRPr="00E814B8" w:rsidRDefault="00E814B8" w:rsidP="00E814B8">
      <w:pPr>
        <w:numPr>
          <w:ilvl w:val="1"/>
          <w:numId w:val="2"/>
        </w:numPr>
        <w:spacing w:line="259" w:lineRule="auto"/>
        <w:contextualSpacing/>
        <w:rPr>
          <w:rFonts w:eastAsia="Times New Roman" w:cs="Times New Roman"/>
          <w:kern w:val="2"/>
        </w:rPr>
      </w:pPr>
      <w:r w:rsidRPr="00E814B8">
        <w:rPr>
          <w:rFonts w:eastAsia="Times New Roman" w:cs="Times New Roman"/>
          <w:kern w:val="2"/>
        </w:rPr>
        <w:t xml:space="preserve">It is important to always ask all questions on the shelter page at certification and recertification including whether or not they are receiving housing or rent assistance.  The household’s actual contribution should be clearly documented. </w:t>
      </w:r>
    </w:p>
    <w:p w14:paraId="7DD39E59" w14:textId="77777777" w:rsidR="00E814B8" w:rsidRPr="00E814B8" w:rsidRDefault="00E814B8" w:rsidP="00E814B8">
      <w:pPr>
        <w:numPr>
          <w:ilvl w:val="2"/>
          <w:numId w:val="2"/>
        </w:numPr>
        <w:spacing w:line="259" w:lineRule="auto"/>
        <w:contextualSpacing/>
        <w:rPr>
          <w:rFonts w:eastAsia="Times New Roman" w:cs="Times New Roman"/>
          <w:kern w:val="2"/>
        </w:rPr>
      </w:pPr>
      <w:r w:rsidRPr="00E814B8">
        <w:rPr>
          <w:rFonts w:eastAsia="Times New Roman" w:cs="Times New Roman"/>
          <w:kern w:val="2"/>
        </w:rPr>
        <w:t>In the additional information section, document any information the household can provide in regards to who they pay shelter costs to.  QC must verify all expenses, and this information could greatly assist in locating landlords.</w:t>
      </w:r>
    </w:p>
    <w:p w14:paraId="7F31510E" w14:textId="3A6EA708" w:rsidR="00E814B8" w:rsidRDefault="00E814B8" w:rsidP="00071B8E">
      <w:pPr>
        <w:pStyle w:val="ListParagraph"/>
        <w:numPr>
          <w:ilvl w:val="2"/>
          <w:numId w:val="2"/>
        </w:numPr>
      </w:pPr>
      <w:r w:rsidRPr="00071B8E">
        <w:t>When a customer no longer has a utility expense, the utility screen must be end dated.  If it is just entered as zero, the incorrect utility standard is given.   End dated utility screens can be deleted at the next renewal.</w:t>
      </w:r>
    </w:p>
    <w:p w14:paraId="343BC422" w14:textId="77777777" w:rsidR="002A03EE" w:rsidRDefault="002A03EE" w:rsidP="002A03EE">
      <w:pPr>
        <w:spacing w:line="259" w:lineRule="auto"/>
      </w:pPr>
    </w:p>
    <w:sectPr w:rsidR="002A03E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FC8E" w14:textId="77777777" w:rsidR="00285549" w:rsidRDefault="00285549" w:rsidP="00E814B8">
      <w:pPr>
        <w:spacing w:after="0" w:line="240" w:lineRule="auto"/>
      </w:pPr>
      <w:r>
        <w:separator/>
      </w:r>
    </w:p>
  </w:endnote>
  <w:endnote w:type="continuationSeparator" w:id="0">
    <w:p w14:paraId="54D1CB83" w14:textId="77777777" w:rsidR="00285549" w:rsidRDefault="00285549" w:rsidP="00E8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1A6B1" w14:textId="77777777" w:rsidR="00285549" w:rsidRDefault="00285549" w:rsidP="00E814B8">
      <w:pPr>
        <w:spacing w:after="0" w:line="240" w:lineRule="auto"/>
      </w:pPr>
      <w:r>
        <w:separator/>
      </w:r>
    </w:p>
  </w:footnote>
  <w:footnote w:type="continuationSeparator" w:id="0">
    <w:p w14:paraId="0FEC993E" w14:textId="77777777" w:rsidR="00285549" w:rsidRDefault="00285549" w:rsidP="00E8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CA8D" w14:textId="4A9463E9" w:rsidR="00E814B8" w:rsidRDefault="00E814B8">
    <w:pPr>
      <w:pStyle w:val="Header"/>
    </w:pPr>
    <w:r>
      <w:tab/>
      <w:t>EST 2/22/2024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05F"/>
    <w:multiLevelType w:val="hybridMultilevel"/>
    <w:tmpl w:val="22F8C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1B05F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452637">
    <w:abstractNumId w:val="1"/>
  </w:num>
  <w:num w:numId="2" w16cid:durableId="1833795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97"/>
    <w:rsid w:val="00071B8E"/>
    <w:rsid w:val="000760EF"/>
    <w:rsid w:val="001D06C5"/>
    <w:rsid w:val="00285549"/>
    <w:rsid w:val="002A03EE"/>
    <w:rsid w:val="0063693D"/>
    <w:rsid w:val="008509CA"/>
    <w:rsid w:val="00895C5D"/>
    <w:rsid w:val="00E10C93"/>
    <w:rsid w:val="00E36697"/>
    <w:rsid w:val="00E814B8"/>
    <w:rsid w:val="00EE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6CD4"/>
  <w15:chartTrackingRefBased/>
  <w15:docId w15:val="{0D0123F6-0204-45B3-998C-C8D3107B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97"/>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4B8"/>
    <w:pPr>
      <w:spacing w:line="259" w:lineRule="auto"/>
      <w:ind w:left="720"/>
      <w:contextualSpacing/>
    </w:pPr>
    <w:rPr>
      <w:rFonts w:eastAsia="Times New Roman" w:cs="Times New Roman"/>
      <w:kern w:val="2"/>
    </w:rPr>
  </w:style>
  <w:style w:type="paragraph" w:styleId="Header">
    <w:name w:val="header"/>
    <w:basedOn w:val="Normal"/>
    <w:link w:val="HeaderChar"/>
    <w:uiPriority w:val="99"/>
    <w:unhideWhenUsed/>
    <w:rsid w:val="00E81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4B8"/>
    <w:rPr>
      <w:kern w:val="0"/>
      <w14:ligatures w14:val="none"/>
    </w:rPr>
  </w:style>
  <w:style w:type="paragraph" w:styleId="Footer">
    <w:name w:val="footer"/>
    <w:basedOn w:val="Normal"/>
    <w:link w:val="FooterChar"/>
    <w:uiPriority w:val="99"/>
    <w:unhideWhenUsed/>
    <w:rsid w:val="00E81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4B8"/>
    <w:rPr>
      <w:kern w:val="0"/>
      <w14:ligatures w14:val="none"/>
    </w:rPr>
  </w:style>
  <w:style w:type="character" w:styleId="Hyperlink">
    <w:name w:val="Hyperlink"/>
    <w:basedOn w:val="DefaultParagraphFont"/>
    <w:uiPriority w:val="99"/>
    <w:semiHidden/>
    <w:unhideWhenUsed/>
    <w:rsid w:val="001D06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cc02.safelinks.protection.outlook.com/?url=https%3A%2F%2Fvimeo.com%2Fshowcase%2F8639921%2Fvideo%2F912680203&amp;data=05%7C02%7CJanice.Pfeiffer%40co.rock.wi.us%7Cd74b66d996f841138a2f08dc316d8933%7Cfa4094e543a84ef6adae32e504907b5e%7C0%7C0%7C638439594116965760%7CUnknown%7CTWFpbGZsb3d8eyJWIjoiMC4wLjAwMDAiLCJQIjoiV2luMzIiLCJBTiI6Ik1haWwiLCJXVCI6Mn0%3D%7C0%7C%7C%7C&amp;sdata=noVMb8GZRjBPpWEiK3sKqK31WA7Axy2kD9qjdlUIfhM%3D&amp;reserved=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30E3757AF094391C43966ABD436EC" ma:contentTypeVersion="13" ma:contentTypeDescription="Create a new document." ma:contentTypeScope="" ma:versionID="04f27ada2238d016c1a9c45cd2b1720e">
  <xsd:schema xmlns:xsd="http://www.w3.org/2001/XMLSchema" xmlns:xs="http://www.w3.org/2001/XMLSchema" xmlns:p="http://schemas.microsoft.com/office/2006/metadata/properties" xmlns:ns2="2f254586-b35f-4441-a040-f54e6e92090e" targetNamespace="http://schemas.microsoft.com/office/2006/metadata/properties" ma:root="true" ma:fieldsID="d8ab4209aa2964d83b90e90605d88346" ns2:_="">
    <xsd:import namespace="2f254586-b35f-4441-a040-f54e6e92090e"/>
    <xsd:element name="properties">
      <xsd:complexType>
        <xsd:sequence>
          <xsd:element name="documentManagement">
            <xsd:complexType>
              <xsd:all>
                <xsd:element ref="ns2:Document_x0020_Type" minOccurs="0"/>
                <xsd:element ref="ns2:Training_x0020_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4586-b35f-4441-a040-f54e6e92090e"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ase Review"/>
                    <xsd:enumeration value="Desk Aid"/>
                    <xsd:enumeration value="DHS New Worker Training"/>
                    <xsd:enumeration value="EST Agenda"/>
                    <xsd:enumeration value="EST Agent Reminders"/>
                    <xsd:enumeration value="EST Meetings"/>
                    <xsd:enumeration value="Mock Training Scenarios"/>
                    <xsd:enumeration value="New Worker Classroom Training"/>
                    <xsd:enumeration value="Quizzes"/>
                    <xsd:enumeration value="Release Summaries"/>
                    <xsd:enumeration value="Schedules"/>
                    <xsd:enumeration value="Training Forms"/>
                    <xsd:enumeration value="Training Guidelines and Materials"/>
                    <xsd:enumeration value="Training Presentations"/>
                    <xsd:enumeration value="Training Team Agenda"/>
                    <xsd:enumeration value="Training Team Minutes"/>
                  </xsd:restriction>
                </xsd:simpleType>
              </xsd:element>
            </xsd:sequence>
          </xsd:extension>
        </xsd:complexContent>
      </xsd:complexType>
    </xsd:element>
    <xsd:element name="Training_x0020_Topic" ma:index="9" nillable="true" ma:displayName="Training Topic" ma:internalName="Training_x0020_Topic">
      <xsd:complexType>
        <xsd:complexContent>
          <xsd:extension base="dms:MultiChoice">
            <xsd:sequence>
              <xsd:element name="Value" maxOccurs="unbounded" minOccurs="0" nillable="true">
                <xsd:simpleType>
                  <xsd:restriction base="dms:Choice">
                    <xsd:enumeration value="ABAWD and Work Registrant"/>
                    <xsd:enumeration value="Alerts"/>
                    <xsd:enumeration value="Application/Renewal"/>
                    <xsd:enumeration value="Brits"/>
                    <xsd:enumeration value="Call Center"/>
                    <xsd:enumeration value="Case Comments"/>
                    <xsd:enumeration value="Changes and EBT Screens"/>
                    <xsd:enumeration value="Child Care and W-2"/>
                    <xsd:enumeration value="Child Support"/>
                    <xsd:enumeration value="Data Exchange"/>
                    <xsd:enumeration value="Dates and Deletions"/>
                    <xsd:enumeration value="Desk Aid Training"/>
                    <xsd:enumeration value="Doc Viewer and ECF"/>
                    <xsd:enumeration value="EBD and SSA"/>
                    <xsd:enumeration value="EI"/>
                    <xsd:enumeration value="FEV"/>
                    <xsd:enumeration value="Forward Health"/>
                    <xsd:enumeration value="Interviewing"/>
                    <xsd:enumeration value="Medical Expense"/>
                    <xsd:enumeration value="Mock Interview"/>
                    <xsd:enumeration value="New Worker Orientation"/>
                    <xsd:enumeration value="Overpayments"/>
                    <xsd:enumeration value="Self-Employment"/>
                    <xsd:enumeration value="SWICAs and Discrepanc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raining_x0020_Topic xmlns="2f254586-b35f-4441-a040-f54e6e92090e"/>
    <Document_x0020_Type xmlns="2f254586-b35f-4441-a040-f54e6e92090e">
      <Value>EST Meetings</Value>
    </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A86589-7638-4F89-A03C-AFC4DBA9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4586-b35f-4441-a040-f54e6e920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2FFB76-F497-4922-939C-6171A60E9B39}">
  <ds:schemaRefs>
    <ds:schemaRef ds:uri="http://schemas.microsoft.com/office/2006/metadata/properties"/>
    <ds:schemaRef ds:uri="http://schemas.microsoft.com/office/infopath/2007/PartnerControls"/>
    <ds:schemaRef ds:uri="2f254586-b35f-4441-a040-f54e6e92090e"/>
  </ds:schemaRefs>
</ds:datastoreItem>
</file>

<file path=customXml/itemProps3.xml><?xml version="1.0" encoding="utf-8"?>
<ds:datastoreItem xmlns:ds="http://schemas.openxmlformats.org/officeDocument/2006/customXml" ds:itemID="{6ACF136E-C253-487D-8A93-DBBA033225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Rock County IT</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Pfeiffer</dc:creator>
  <cp:keywords/>
  <dc:description/>
  <cp:lastModifiedBy>Janice Pfeiffer</cp:lastModifiedBy>
  <cp:revision>6</cp:revision>
  <dcterms:created xsi:type="dcterms:W3CDTF">2024-02-19T17:57:00Z</dcterms:created>
  <dcterms:modified xsi:type="dcterms:W3CDTF">2024-02-21T16:51:00Z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0x010100F3F30E3757AF094391C43966ABD436EC</vt:lpwstr>
  </property>
</Properties>
</file>